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C2172B"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MÉXICO Y MUNICIPIOS, EN LA </w:t>
      </w:r>
      <w:r w:rsidR="00915A6E">
        <w:rPr>
          <w:rFonts w:ascii="Palatino Linotype" w:hAnsi="Palatino Linotype"/>
          <w:b/>
        </w:rPr>
        <w:t>S</w:t>
      </w:r>
      <w:r w:rsidR="001361EF">
        <w:rPr>
          <w:rFonts w:ascii="Palatino Linotype" w:hAnsi="Palatino Linotype"/>
          <w:b/>
        </w:rPr>
        <w:t>É</w:t>
      </w:r>
      <w:r w:rsidR="00915A6E">
        <w:rPr>
          <w:rFonts w:ascii="Palatino Linotype" w:hAnsi="Palatino Linotype"/>
          <w:b/>
        </w:rPr>
        <w:t>PTIMA</w:t>
      </w:r>
      <w:r w:rsidRPr="00C2172B">
        <w:rPr>
          <w:rFonts w:ascii="Palatino Linotype" w:hAnsi="Palatino Linotype"/>
          <w:b/>
        </w:rPr>
        <w:t xml:space="preserve"> SESIÓN ORDINARIA DEL </w:t>
      </w:r>
      <w:r w:rsidR="00915A6E">
        <w:rPr>
          <w:rFonts w:ascii="Palatino Linotype" w:hAnsi="Palatino Linotype"/>
          <w:b/>
        </w:rPr>
        <w:t xml:space="preserve">VEINTE </w:t>
      </w:r>
      <w:r w:rsidRPr="00C2172B">
        <w:rPr>
          <w:rFonts w:ascii="Palatino Linotype" w:hAnsi="Palatino Linotype"/>
          <w:b/>
        </w:rPr>
        <w:t xml:space="preserve"> DE </w:t>
      </w:r>
      <w:r w:rsidR="00915A6E">
        <w:rPr>
          <w:rFonts w:ascii="Palatino Linotype" w:hAnsi="Palatino Linotype"/>
          <w:b/>
        </w:rPr>
        <w:t>FEBRERO</w:t>
      </w:r>
      <w:r w:rsidRPr="00C2172B">
        <w:rPr>
          <w:rFonts w:ascii="Palatino Linotype" w:hAnsi="Palatino Linotype"/>
          <w:b/>
        </w:rPr>
        <w:t xml:space="preserve"> DE DOS MIL </w:t>
      </w:r>
      <w:r w:rsidR="007B3391" w:rsidRPr="00C2172B">
        <w:rPr>
          <w:rFonts w:ascii="Palatino Linotype" w:hAnsi="Palatino Linotype"/>
          <w:b/>
        </w:rPr>
        <w:t>DIECI</w:t>
      </w:r>
      <w:r w:rsidR="00915A6E">
        <w:rPr>
          <w:rFonts w:ascii="Palatino Linotype" w:hAnsi="Palatino Linotype"/>
          <w:b/>
        </w:rPr>
        <w:t>NUEVE</w:t>
      </w:r>
      <w:r w:rsidR="0043077C" w:rsidRPr="00C2172B">
        <w:rPr>
          <w:rFonts w:ascii="Palatino Linotype" w:hAnsi="Palatino Linotype"/>
          <w:b/>
        </w:rPr>
        <w:t>, EN EL</w:t>
      </w:r>
      <w:r w:rsidRPr="00C2172B">
        <w:rPr>
          <w:rFonts w:ascii="Palatino Linotype" w:hAnsi="Palatino Linotype"/>
          <w:b/>
        </w:rPr>
        <w:t xml:space="preserve"> RECURSO DE REVISIÓN </w:t>
      </w:r>
      <w:r w:rsidR="00823168">
        <w:rPr>
          <w:rFonts w:ascii="Palatino Linotype" w:hAnsi="Palatino Linotype"/>
          <w:b/>
        </w:rPr>
        <w:t>0</w:t>
      </w:r>
      <w:r w:rsidR="00915A6E">
        <w:rPr>
          <w:rFonts w:ascii="Palatino Linotype" w:hAnsi="Palatino Linotype"/>
          <w:b/>
        </w:rPr>
        <w:t>4563</w:t>
      </w:r>
      <w:r w:rsidR="007B3391" w:rsidRPr="00C2172B">
        <w:rPr>
          <w:rFonts w:ascii="Palatino Linotype" w:hAnsi="Palatino Linotype"/>
          <w:b/>
        </w:rPr>
        <w:t>/INFOEM/IP/RR/</w:t>
      </w:r>
      <w:r w:rsidR="00BD49FD" w:rsidRPr="00C2172B">
        <w:rPr>
          <w:rFonts w:ascii="Palatino Linotype" w:hAnsi="Palatino Linotype"/>
          <w:b/>
        </w:rPr>
        <w:t>2018</w:t>
      </w:r>
      <w:r w:rsidR="00BD49FD">
        <w:rPr>
          <w:rFonts w:ascii="Palatino Linotype" w:hAnsi="Palatino Linotype"/>
          <w:b/>
        </w:rPr>
        <w:t xml:space="preserve"> Y ACUMULADOS</w:t>
      </w:r>
      <w:r w:rsidR="00BD49FD" w:rsidRPr="00C2172B">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al</w:t>
      </w:r>
      <w:r w:rsidRPr="00C2172B">
        <w:rPr>
          <w:rFonts w:ascii="Palatino Linotype" w:hAnsi="Palatino Linotype"/>
        </w:rPr>
        <w:t xml:space="preserve"> recurso de revisión </w:t>
      </w:r>
      <w:r w:rsidR="00823168">
        <w:rPr>
          <w:rFonts w:ascii="Palatino Linotype" w:hAnsi="Palatino Linotype" w:cs="Arial"/>
          <w:bCs/>
          <w:lang w:eastAsia="es-MX"/>
        </w:rPr>
        <w:t>0</w:t>
      </w:r>
      <w:r w:rsidR="00915A6E">
        <w:rPr>
          <w:rFonts w:ascii="Palatino Linotype" w:hAnsi="Palatino Linotype" w:cs="Arial"/>
          <w:bCs/>
          <w:lang w:eastAsia="es-MX"/>
        </w:rPr>
        <w:t>4563</w:t>
      </w:r>
      <w:r w:rsidR="007B3391" w:rsidRPr="00C2172B">
        <w:rPr>
          <w:rFonts w:ascii="Palatino Linotype" w:hAnsi="Palatino Linotype" w:cs="Arial"/>
          <w:bCs/>
          <w:lang w:eastAsia="es-MX"/>
        </w:rPr>
        <w:t>/INFOEM/IP/RR/2018</w:t>
      </w:r>
      <w:r w:rsidR="00914298">
        <w:rPr>
          <w:rFonts w:ascii="Palatino Linotype" w:hAnsi="Palatino Linotype" w:cs="Arial"/>
          <w:bCs/>
          <w:lang w:eastAsia="es-MX"/>
        </w:rPr>
        <w:t xml:space="preserve"> y acumulados</w:t>
      </w:r>
      <w:r w:rsidR="00E6724B">
        <w:rPr>
          <w:rFonts w:ascii="Palatino Linotype" w:hAnsi="Palatino Linotype" w:cs="Arial"/>
          <w:bCs/>
          <w:lang w:eastAsia="es-MX"/>
        </w:rPr>
        <w:t>,</w:t>
      </w:r>
      <w:r w:rsidRPr="00C2172B">
        <w:rPr>
          <w:rFonts w:ascii="Palatino Linotype" w:hAnsi="Palatino Linotype" w:cs="Arial"/>
          <w:bCs/>
          <w:lang w:eastAsia="es-MX"/>
        </w:rPr>
        <w:t xml:space="preserve"> </w:t>
      </w:r>
      <w:r w:rsidRPr="00C2172B">
        <w:rPr>
          <w:rFonts w:ascii="Palatino Linotype" w:hAnsi="Palatino Linotype"/>
        </w:rPr>
        <w:t xml:space="preserve">presentada por </w:t>
      </w:r>
      <w:r w:rsidR="007B3391" w:rsidRPr="00C2172B">
        <w:rPr>
          <w:rFonts w:ascii="Palatino Linotype" w:hAnsi="Palatino Linotype"/>
        </w:rPr>
        <w:t>el Comisionado</w:t>
      </w:r>
      <w:r w:rsidRPr="00C2172B">
        <w:rPr>
          <w:rFonts w:ascii="Palatino Linotype" w:hAnsi="Palatino Linotype"/>
        </w:rPr>
        <w:t xml:space="preserve"> </w:t>
      </w:r>
      <w:r w:rsidR="007B3391" w:rsidRPr="00C2172B">
        <w:rPr>
          <w:rFonts w:ascii="Palatino Linotype" w:hAnsi="Palatino Linotype"/>
        </w:rPr>
        <w:t>José Guadalupe Luna Hernández</w:t>
      </w:r>
      <w:r w:rsidRPr="00C2172B">
        <w:rPr>
          <w:rFonts w:ascii="Palatino Linotype" w:hAnsi="Palatino Linotype"/>
        </w:rPr>
        <w:t xml:space="preserve">, respecto de la cual,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Pr="00C2172B">
        <w:rPr>
          <w:rFonts w:ascii="Palatino Linotype" w:hAnsi="Palatino Linotype"/>
          <w:b/>
        </w:rPr>
        <w:t>VOTO 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7B3391" w:rsidRPr="00C2172B" w:rsidRDefault="00B72322" w:rsidP="00915A6E">
      <w:pPr>
        <w:tabs>
          <w:tab w:val="left" w:pos="0"/>
        </w:tabs>
        <w:spacing w:line="360" w:lineRule="auto"/>
        <w:ind w:right="176"/>
        <w:jc w:val="both"/>
        <w:rPr>
          <w:rFonts w:ascii="Palatino Linotype" w:hAnsi="Palatino Linotype"/>
        </w:rPr>
      </w:pPr>
      <w:r w:rsidRPr="00DE0ADC">
        <w:rPr>
          <w:rFonts w:ascii="Palatino Linotype" w:hAnsi="Palatino Linotype"/>
        </w:rPr>
        <w:t xml:space="preserve">De manera previa a la emisión del presente </w:t>
      </w:r>
      <w:r w:rsidRPr="00C2172B">
        <w:rPr>
          <w:rFonts w:ascii="Palatino Linotype" w:hAnsi="Palatino Linotype"/>
        </w:rPr>
        <w:t>voto, cabe precisar</w:t>
      </w:r>
      <w:r w:rsidR="009B5C84" w:rsidRPr="00C2172B">
        <w:rPr>
          <w:rFonts w:ascii="Palatino Linotype" w:hAnsi="Palatino Linotype"/>
        </w:rPr>
        <w:t xml:space="preserve"> que la materia en que radicó el recurso</w:t>
      </w:r>
      <w:r w:rsidR="003D235F" w:rsidRPr="00C2172B">
        <w:rPr>
          <w:rFonts w:ascii="Palatino Linotype" w:hAnsi="Palatino Linotype"/>
        </w:rPr>
        <w:t xml:space="preserve"> de revisión, lo fue en</w:t>
      </w:r>
      <w:r w:rsidRPr="00C2172B">
        <w:rPr>
          <w:rFonts w:ascii="Palatino Linotype" w:hAnsi="Palatino Linotype"/>
        </w:rPr>
        <w:t xml:space="preserve"> que se proporcionara</w:t>
      </w:r>
      <w:r w:rsidR="009B5C84" w:rsidRPr="00C2172B">
        <w:rPr>
          <w:rFonts w:ascii="Palatino Linotype" w:hAnsi="Palatino Linotype"/>
        </w:rPr>
        <w:t xml:space="preserve"> por parte </w:t>
      </w:r>
      <w:r w:rsidR="009B5C84" w:rsidRPr="00DE0ADC">
        <w:rPr>
          <w:rFonts w:ascii="Palatino Linotype" w:hAnsi="Palatino Linotype"/>
        </w:rPr>
        <w:t>de</w:t>
      </w:r>
      <w:r w:rsidR="007B3391" w:rsidRPr="00DE0ADC">
        <w:rPr>
          <w:rFonts w:ascii="Palatino Linotype" w:hAnsi="Palatino Linotype"/>
        </w:rPr>
        <w:t xml:space="preserve">l </w:t>
      </w:r>
      <w:r w:rsidR="00DE0ADC" w:rsidRPr="00DE0ADC">
        <w:rPr>
          <w:rFonts w:ascii="Palatino Linotype" w:hAnsi="Palatino Linotype"/>
          <w:bCs/>
          <w:lang w:val="es-ES_tradnl"/>
        </w:rPr>
        <w:t xml:space="preserve">Sistema Municipal Para el Desarrollo Integral de la Familia de </w:t>
      </w:r>
      <w:r w:rsidR="00915A6E">
        <w:rPr>
          <w:rFonts w:ascii="Palatino Linotype" w:hAnsi="Palatino Linotype"/>
          <w:bCs/>
          <w:lang w:val="es-ES_tradnl"/>
        </w:rPr>
        <w:t>Valle de Chalco Solidaridad</w:t>
      </w:r>
      <w:r w:rsidR="00DE0ADC" w:rsidRPr="00DE0ADC">
        <w:rPr>
          <w:rFonts w:ascii="Palatino Linotype" w:hAnsi="Palatino Linotype"/>
          <w:bCs/>
          <w:lang w:val="es-ES_tradnl"/>
        </w:rPr>
        <w:t>,</w:t>
      </w:r>
      <w:r w:rsidR="00915A6E">
        <w:rPr>
          <w:rFonts w:ascii="Palatino Linotype" w:hAnsi="Palatino Linotype"/>
          <w:bCs/>
          <w:lang w:val="es-ES_tradnl"/>
        </w:rPr>
        <w:t xml:space="preserve"> </w:t>
      </w:r>
      <w:r w:rsidR="00915A6E">
        <w:rPr>
          <w:rFonts w:ascii="Palatino Linotype" w:hAnsi="Palatino Linotype"/>
        </w:rPr>
        <w:t>p</w:t>
      </w:r>
      <w:r w:rsidR="00915A6E" w:rsidRPr="00227BA6">
        <w:rPr>
          <w:rFonts w:ascii="Palatino Linotype" w:hAnsi="Palatino Linotype"/>
        </w:rPr>
        <w:t>ara los años 2015, 2016, 2017 y de enero a octubre de 2018:</w:t>
      </w:r>
      <w:r w:rsidR="00915A6E">
        <w:rPr>
          <w:rFonts w:ascii="Palatino Linotype" w:hAnsi="Palatino Linotype"/>
        </w:rPr>
        <w:t xml:space="preserve"> e</w:t>
      </w:r>
      <w:r w:rsidR="00915A6E" w:rsidRPr="00915A6E">
        <w:rPr>
          <w:rFonts w:ascii="Palatino Linotype" w:hAnsi="Palatino Linotype"/>
        </w:rPr>
        <w:t>l listado de los servidores públicos que ha sindicalizado, señalando la</w:t>
      </w:r>
      <w:r w:rsidR="00915A6E">
        <w:rPr>
          <w:rFonts w:ascii="Palatino Linotype" w:hAnsi="Palatino Linotype"/>
        </w:rPr>
        <w:t xml:space="preserve"> fecha de la sindicalización; y e</w:t>
      </w:r>
      <w:r w:rsidR="00915A6E" w:rsidRPr="00227BA6">
        <w:rPr>
          <w:rFonts w:ascii="Palatino Linotype" w:hAnsi="Palatino Linotype"/>
        </w:rPr>
        <w:t>l expediente conforma</w:t>
      </w:r>
      <w:r w:rsidR="00915A6E">
        <w:rPr>
          <w:rFonts w:ascii="Palatino Linotype" w:hAnsi="Palatino Linotype"/>
        </w:rPr>
        <w:t>do por cada nuevo sindicalizado; del 31 de octubre de 2018, e</w:t>
      </w:r>
      <w:r w:rsidR="00915A6E" w:rsidRPr="00227BA6">
        <w:rPr>
          <w:rFonts w:ascii="Palatino Linotype" w:hAnsi="Palatino Linotype"/>
        </w:rPr>
        <w:t>l listado de servidores públicos precisando el nombre e indicando si es personal de nómina de confianza o sindicalizado, por honorarios o de lista de raya, área de adscripción, sueldo quincenal</w:t>
      </w:r>
      <w:r w:rsidR="00915A6E">
        <w:rPr>
          <w:rFonts w:ascii="Palatino Linotype" w:hAnsi="Palatino Linotype"/>
        </w:rPr>
        <w:t xml:space="preserve"> bruto y sueldo quincenal neto; y d</w:t>
      </w:r>
      <w:r w:rsidR="00915A6E" w:rsidRPr="00227BA6">
        <w:rPr>
          <w:rFonts w:ascii="Palatino Linotype" w:hAnsi="Palatino Linotype"/>
        </w:rPr>
        <w:t>e la primera quincena de noviembre de 2018</w:t>
      </w:r>
      <w:r w:rsidR="00915A6E">
        <w:rPr>
          <w:rFonts w:ascii="Palatino Linotype" w:hAnsi="Palatino Linotype"/>
        </w:rPr>
        <w:t>, l</w:t>
      </w:r>
      <w:r w:rsidR="00915A6E" w:rsidRPr="00227BA6">
        <w:rPr>
          <w:rFonts w:ascii="Palatino Linotype" w:hAnsi="Palatino Linotype"/>
        </w:rPr>
        <w:t xml:space="preserve">os recibos de pago del </w:t>
      </w:r>
      <w:r w:rsidR="00915A6E" w:rsidRPr="00227BA6">
        <w:rPr>
          <w:rFonts w:ascii="Palatino Linotype" w:hAnsi="Palatino Linotype"/>
        </w:rPr>
        <w:lastRenderedPageBreak/>
        <w:t>personal de nómina (confianza y sindicalizados), por honorarios y lista de raya</w:t>
      </w:r>
      <w:r w:rsidR="00385164" w:rsidRPr="00C2172B">
        <w:rPr>
          <w:rFonts w:ascii="Palatino Linotype" w:hAnsi="Palatino Linotype"/>
        </w:rPr>
        <w:t>;</w:t>
      </w:r>
      <w:r w:rsidR="005B256E">
        <w:rPr>
          <w:rFonts w:ascii="Palatino Linotype" w:hAnsi="Palatino Linotype"/>
        </w:rPr>
        <w:t xml:space="preserve"> </w:t>
      </w:r>
      <w:r w:rsidR="00385164" w:rsidRPr="00C2172B">
        <w:rPr>
          <w:rFonts w:ascii="Palatino Linotype" w:hAnsi="Palatino Linotype"/>
        </w:rPr>
        <w:t>al respecto, dicho Sujeto Obligado fue omiso en otorgar una respuesta, por lo que transcurrido el plazo concedido para cumplir con ello de conformidad al artículo 163 de la Ley de Transparencia y Acceso a la Información Pública del E</w:t>
      </w:r>
      <w:r w:rsidR="005B256E">
        <w:rPr>
          <w:rFonts w:ascii="Palatino Linotype" w:hAnsi="Palatino Linotype"/>
        </w:rPr>
        <w:t>stado de México y Municipios, el</w:t>
      </w:r>
      <w:r w:rsidR="00385164" w:rsidRPr="00C2172B">
        <w:rPr>
          <w:rFonts w:ascii="Palatino Linotype" w:hAnsi="Palatino Linotype"/>
        </w:rPr>
        <w:t xml:space="preserve"> recurrente presentó su recurso de revisión, quejándose </w:t>
      </w:r>
      <w:r w:rsidR="005B256E">
        <w:rPr>
          <w:rFonts w:ascii="Palatino Linotype" w:hAnsi="Palatino Linotype"/>
        </w:rPr>
        <w:t xml:space="preserve">de </w:t>
      </w:r>
      <w:r w:rsidR="005B256E" w:rsidRPr="005B256E">
        <w:rPr>
          <w:rFonts w:ascii="Palatino Linotype" w:hAnsi="Palatino Linotype"/>
        </w:rPr>
        <w:t>no haber brindado respuesta a la solicitud</w:t>
      </w:r>
      <w:r w:rsidR="00DE0ADC">
        <w:rPr>
          <w:rFonts w:ascii="Palatino Linotype" w:hAnsi="Palatino Linotype"/>
        </w:rPr>
        <w:t>es</w:t>
      </w:r>
      <w:r w:rsidR="005B256E" w:rsidRPr="005B256E">
        <w:rPr>
          <w:rFonts w:ascii="Palatino Linotype" w:hAnsi="Palatino Linotype"/>
        </w:rPr>
        <w:t xml:space="preserve"> de acceso a la información</w:t>
      </w:r>
      <w:r w:rsidR="00385164" w:rsidRPr="00C2172B">
        <w:rPr>
          <w:rFonts w:ascii="Palatino Linotype" w:hAnsi="Palatino Linotype"/>
        </w:rPr>
        <w:t>.</w:t>
      </w:r>
    </w:p>
    <w:p w:rsidR="00F44D4F" w:rsidRDefault="00F44D4F" w:rsidP="00B72322">
      <w:pPr>
        <w:spacing w:before="240" w:after="240" w:line="360" w:lineRule="auto"/>
        <w:jc w:val="both"/>
        <w:rPr>
          <w:rFonts w:ascii="Palatino Linotype" w:hAnsi="Palatino Linotype"/>
        </w:rPr>
      </w:pPr>
      <w:r w:rsidRPr="00C2172B">
        <w:rPr>
          <w:rFonts w:ascii="Palatino Linotype" w:hAnsi="Palatino Linotype"/>
        </w:rPr>
        <w:t>Aunado a lo anterior el Sujeto Obligado</w:t>
      </w:r>
      <w:r w:rsidR="00802FD5">
        <w:rPr>
          <w:rFonts w:ascii="Palatino Linotype" w:hAnsi="Palatino Linotype"/>
        </w:rPr>
        <w:t xml:space="preserve"> al rendir su informe justificado, </w:t>
      </w:r>
      <w:r w:rsidRPr="00C2172B">
        <w:rPr>
          <w:rFonts w:ascii="Palatino Linotype" w:hAnsi="Palatino Linotype"/>
        </w:rPr>
        <w:t xml:space="preserve"> </w:t>
      </w:r>
      <w:r w:rsidR="00802FD5">
        <w:rPr>
          <w:rFonts w:ascii="Palatino Linotype" w:hAnsi="Palatino Linotype"/>
        </w:rPr>
        <w:t>proporcion</w:t>
      </w:r>
      <w:r w:rsidR="00636EA2">
        <w:rPr>
          <w:rFonts w:ascii="Palatino Linotype" w:hAnsi="Palatino Linotype"/>
        </w:rPr>
        <w:t>ó</w:t>
      </w:r>
      <w:r w:rsidR="00802FD5">
        <w:rPr>
          <w:rFonts w:ascii="Palatino Linotype" w:hAnsi="Palatino Linotype"/>
        </w:rPr>
        <w:t xml:space="preserve"> la información consistente en:</w:t>
      </w:r>
    </w:p>
    <w:p w:rsidR="00802FD5" w:rsidRPr="00802FD5" w:rsidRDefault="00802FD5" w:rsidP="00802FD5">
      <w:pPr>
        <w:pStyle w:val="Prrafodelista"/>
        <w:numPr>
          <w:ilvl w:val="0"/>
          <w:numId w:val="10"/>
        </w:numPr>
        <w:spacing w:before="240" w:after="240" w:line="360" w:lineRule="auto"/>
        <w:jc w:val="both"/>
        <w:rPr>
          <w:rFonts w:ascii="Palatino Linotype" w:hAnsi="Palatino Linotype" w:cs="Arial"/>
          <w:lang w:eastAsia="es-MX"/>
        </w:rPr>
      </w:pPr>
      <w:r w:rsidRPr="00802FD5">
        <w:rPr>
          <w:rFonts w:ascii="Palatino Linotype" w:hAnsi="Palatino Linotype" w:cs="Arial"/>
          <w:lang w:eastAsia="es-MX"/>
        </w:rPr>
        <w:t>Listado de veintiocho registros de “personal sindicalizado”, en el cual incluye: empleado, nombre completo, área de adscripción, puesto funcional, sueldo diario, percepción salarial y sueldo quincenal.</w:t>
      </w:r>
    </w:p>
    <w:p w:rsidR="00802FD5" w:rsidRPr="00802FD5" w:rsidRDefault="00802FD5" w:rsidP="00802FD5">
      <w:pPr>
        <w:pStyle w:val="Prrafodelista"/>
        <w:numPr>
          <w:ilvl w:val="0"/>
          <w:numId w:val="10"/>
        </w:numPr>
        <w:spacing w:before="240" w:after="240" w:line="360" w:lineRule="auto"/>
        <w:jc w:val="both"/>
        <w:rPr>
          <w:rFonts w:ascii="Palatino Linotype" w:hAnsi="Palatino Linotype" w:cs="Arial"/>
          <w:lang w:eastAsia="es-MX"/>
        </w:rPr>
      </w:pPr>
      <w:r w:rsidRPr="00802FD5">
        <w:rPr>
          <w:rFonts w:ascii="Palatino Linotype" w:hAnsi="Palatino Linotype" w:cs="Arial"/>
          <w:lang w:eastAsia="es-MX"/>
        </w:rPr>
        <w:t>Listado de ciento veintiséis registros de “servidores públicos en nómina DIF”, en el cual incluye: empleado, nombre completo, área de adscripción, puesto funcional, categoría, percepción salarial y sueldo quincenal.</w:t>
      </w:r>
    </w:p>
    <w:p w:rsidR="00802FD5" w:rsidRPr="00636EA2" w:rsidRDefault="00802FD5" w:rsidP="00B72322">
      <w:pPr>
        <w:pStyle w:val="Prrafodelista"/>
        <w:numPr>
          <w:ilvl w:val="0"/>
          <w:numId w:val="10"/>
        </w:numPr>
        <w:spacing w:before="240" w:after="240" w:line="360" w:lineRule="auto"/>
        <w:jc w:val="both"/>
        <w:rPr>
          <w:rFonts w:ascii="Palatino Linotype" w:hAnsi="Palatino Linotype"/>
        </w:rPr>
      </w:pPr>
      <w:r w:rsidRPr="00802FD5">
        <w:rPr>
          <w:rFonts w:ascii="Palatino Linotype" w:hAnsi="Palatino Linotype" w:cs="Arial"/>
          <w:lang w:eastAsia="es-MX"/>
        </w:rPr>
        <w:t>Comprobante de pago de la primera quincena de noviembre de dos mil dieciocho (01 al 15 de noviembre de 2018) de ciento veinticinco personas, en versión pública.</w:t>
      </w:r>
    </w:p>
    <w:p w:rsidR="00875302" w:rsidRDefault="00F44D4F" w:rsidP="00B72322">
      <w:pPr>
        <w:spacing w:before="240" w:after="240" w:line="360" w:lineRule="auto"/>
        <w:jc w:val="both"/>
        <w:rPr>
          <w:rFonts w:ascii="Palatino Linotype" w:hAnsi="Palatino Linotype"/>
        </w:rPr>
      </w:pPr>
      <w:r w:rsidRPr="00C2172B">
        <w:rPr>
          <w:rFonts w:ascii="Palatino Linotype" w:hAnsi="Palatino Linotype"/>
        </w:rPr>
        <w:t xml:space="preserve">Así las cosas el Comisionado ponente, en la resolución presentada ante el Pleno de este Instituto, </w:t>
      </w:r>
      <w:r w:rsidR="002F0C10">
        <w:rPr>
          <w:rFonts w:ascii="Palatino Linotype" w:hAnsi="Palatino Linotype"/>
        </w:rPr>
        <w:t xml:space="preserve">si bien realiza un estudio de las constancias remitidas por el Sujeto Obligado a efecto de verificar si con lo </w:t>
      </w:r>
      <w:r w:rsidR="00875302">
        <w:rPr>
          <w:rFonts w:ascii="Palatino Linotype" w:hAnsi="Palatino Linotype"/>
        </w:rPr>
        <w:t xml:space="preserve">remitido </w:t>
      </w:r>
      <w:r w:rsidR="002F0C10">
        <w:rPr>
          <w:rFonts w:ascii="Palatino Linotype" w:hAnsi="Palatino Linotype"/>
        </w:rPr>
        <w:t xml:space="preserve">en informe justificado se tenía por colmado el derecho de acceso a la información </w:t>
      </w:r>
      <w:r w:rsidR="00875302">
        <w:rPr>
          <w:rFonts w:ascii="Palatino Linotype" w:hAnsi="Palatino Linotype"/>
        </w:rPr>
        <w:t>ejercido por el recurrente,</w:t>
      </w:r>
      <w:r w:rsidR="002F0C10">
        <w:rPr>
          <w:rFonts w:ascii="Palatino Linotype" w:hAnsi="Palatino Linotype"/>
        </w:rPr>
        <w:t xml:space="preserve"> también lo es que dentro de este estudio fue omiso en</w:t>
      </w:r>
      <w:r w:rsidR="00875302">
        <w:rPr>
          <w:rFonts w:ascii="Palatino Linotype" w:hAnsi="Palatino Linotype"/>
        </w:rPr>
        <w:t xml:space="preserve"> analizar</w:t>
      </w:r>
      <w:r w:rsidR="002F0C10">
        <w:rPr>
          <w:rFonts w:ascii="Palatino Linotype" w:hAnsi="Palatino Linotype"/>
        </w:rPr>
        <w:t xml:space="preserve"> diversas</w:t>
      </w:r>
      <w:r w:rsidR="00875302">
        <w:rPr>
          <w:rFonts w:ascii="Palatino Linotype" w:hAnsi="Palatino Linotype"/>
        </w:rPr>
        <w:t xml:space="preserve"> cuestiones que no se comparten.</w:t>
      </w:r>
    </w:p>
    <w:p w:rsidR="00875302" w:rsidRDefault="00875302" w:rsidP="00875302">
      <w:pPr>
        <w:spacing w:before="240" w:after="240" w:line="360" w:lineRule="auto"/>
        <w:jc w:val="both"/>
        <w:rPr>
          <w:rFonts w:ascii="Palatino Linotype" w:hAnsi="Palatino Linotype"/>
        </w:rPr>
      </w:pPr>
      <w:r w:rsidRPr="00C2172B">
        <w:rPr>
          <w:rFonts w:ascii="Palatino Linotype" w:hAnsi="Palatino Linotype"/>
        </w:rPr>
        <w:lastRenderedPageBreak/>
        <w:t>Lo anterior es la razón del presente voto, pues si bien comparto el deber para el Sujeto Obligado de dar atención a la</w:t>
      </w:r>
      <w:r>
        <w:rPr>
          <w:rFonts w:ascii="Palatino Linotype" w:hAnsi="Palatino Linotype"/>
        </w:rPr>
        <w:t>s</w:t>
      </w:r>
      <w:r w:rsidRPr="00C2172B">
        <w:rPr>
          <w:rFonts w:ascii="Palatino Linotype" w:hAnsi="Palatino Linotype"/>
        </w:rPr>
        <w:t xml:space="preserve"> solicitud</w:t>
      </w:r>
      <w:r>
        <w:rPr>
          <w:rFonts w:ascii="Palatino Linotype" w:hAnsi="Palatino Linotype"/>
        </w:rPr>
        <w:t>es</w:t>
      </w:r>
      <w:r w:rsidRPr="00C2172B">
        <w:rPr>
          <w:rFonts w:ascii="Palatino Linotype" w:hAnsi="Palatino Linotype"/>
        </w:rPr>
        <w:t xml:space="preserve"> de información, lo cual es incuestionable, lo cierto es que considero que la labor para este Órgano Garante no puede limitarse a ordenarle al Sujeto Obligado la realización de lo que no hizo en un principio, </w:t>
      </w:r>
      <w:r>
        <w:rPr>
          <w:rFonts w:ascii="Palatino Linotype" w:hAnsi="Palatino Linotype"/>
        </w:rPr>
        <w:t xml:space="preserve">ni mucho menos en </w:t>
      </w:r>
      <w:r w:rsidRPr="00C2172B">
        <w:rPr>
          <w:rFonts w:ascii="Palatino Linotype" w:hAnsi="Palatino Linotype"/>
        </w:rPr>
        <w:t>ello por las consideraciones que a continuación explico.</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En un primer momento es importante resaltar que la Ley de Transparencia y Acceso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demás disposiciones en la materia, tal y como se desprende de sus artículo 21 y 22, a saber:</w:t>
      </w:r>
    </w:p>
    <w:p w:rsidR="00875302" w:rsidRPr="00C2172B" w:rsidRDefault="00875302" w:rsidP="00875302">
      <w:pPr>
        <w:spacing w:before="240" w:after="240" w:line="240" w:lineRule="auto"/>
        <w:ind w:left="851" w:right="900"/>
        <w:jc w:val="both"/>
        <w:rPr>
          <w:rFonts w:ascii="Palatino Linotype" w:hAnsi="Palatino Linotype"/>
          <w:i/>
        </w:rPr>
      </w:pPr>
      <w:r w:rsidRPr="00C2172B">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875302" w:rsidRDefault="00875302" w:rsidP="00875302">
      <w:pPr>
        <w:spacing w:before="240" w:after="240" w:line="240" w:lineRule="auto"/>
        <w:ind w:left="851" w:right="900"/>
        <w:jc w:val="both"/>
        <w:rPr>
          <w:rFonts w:ascii="Palatino Linotype" w:hAnsi="Palatino Linotype"/>
          <w:i/>
        </w:rPr>
      </w:pPr>
      <w:r w:rsidRPr="00C2172B">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875302" w:rsidRPr="00C2172B" w:rsidRDefault="00875302" w:rsidP="00875302">
      <w:pPr>
        <w:spacing w:before="240" w:after="240" w:line="360" w:lineRule="auto"/>
        <w:jc w:val="both"/>
        <w:rPr>
          <w:rFonts w:ascii="Palatino Linotype" w:hAnsi="Palatino Linotype"/>
        </w:rPr>
      </w:pPr>
      <w:r>
        <w:rPr>
          <w:rFonts w:ascii="Palatino Linotype" w:hAnsi="Palatino Linotype"/>
        </w:rPr>
        <w:t>Ahora bien, como</w:t>
      </w:r>
      <w:r w:rsidRPr="00C2172B">
        <w:rPr>
          <w:rFonts w:ascii="Palatino Linotype" w:hAnsi="Palatino Linotype"/>
        </w:rPr>
        <w:t xml:space="preserve"> se refirió en la resolución que se comenta,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lastRenderedPageBreak/>
        <w:t xml:space="preserve">En tal tesitura, si nos remitimos al significado de </w:t>
      </w:r>
      <w:r w:rsidRPr="00C2172B">
        <w:rPr>
          <w:rFonts w:ascii="Palatino Linotype" w:hAnsi="Palatino Linotype"/>
          <w:i/>
        </w:rPr>
        <w:t>garantizar</w:t>
      </w:r>
      <w:r w:rsidRPr="00C2172B">
        <w:rPr>
          <w:rFonts w:ascii="Palatino Linotype" w:hAnsi="Palatino Linotype"/>
        </w:rPr>
        <w:t xml:space="preserve"> tenemos que ello implica, asegurar, proteger, dar certeza o seguridad sobre algo; de tal manera que si ante una falta de respuesta a una solicitud de acceso a la información pública por parte de los Sujetos Obligados, el Órgano responsable de garantizar dicho derecho se limita a referirle al Sujeto Obligado su deber de atender la solicitud de acceso a la información, explicándole el proceso que debe seguir para ello o las cuestiones que debe prever, no está asegurando ni dando certeza de la atención al derecho del particular.</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Pues la Ley de Transparencia, ya es lo suficientemente clara señalando el procedimiento de acceso a la información pública, en su Título Séptimo, </w:t>
      </w:r>
      <w:r w:rsidRPr="00C2172B">
        <w:rPr>
          <w:rFonts w:ascii="Palatino Linotype" w:hAnsi="Palatino Linotype"/>
          <w:i/>
        </w:rPr>
        <w:t xml:space="preserve">Acceso a la Información Pública, </w:t>
      </w:r>
      <w:r w:rsidRPr="00C2172B">
        <w:rPr>
          <w:rFonts w:ascii="Palatino Linotype" w:hAnsi="Palatino Linotype"/>
        </w:rPr>
        <w:t xml:space="preserve">Capítulo I, </w:t>
      </w:r>
      <w:r w:rsidRPr="00C2172B">
        <w:rPr>
          <w:rFonts w:ascii="Palatino Linotype" w:hAnsi="Palatino Linotype"/>
          <w:i/>
        </w:rPr>
        <w:t>Del Procedimiento de Acceso a la Información Pública,</w:t>
      </w:r>
      <w:r w:rsidRPr="00C2172B">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En otras palabras una resolución no puede ser solamente el medio donde se explique de manera extensa lo dictado por la ley, sino debe ser el medio en el que se juzgue el actuar del Sujeto Obligado, pero que sin que se traduzca en una simple opinión, sino en un medio que asegure la atención del derecho. </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 Ley de Transparencia, tanto General como Local y las demás disposiciones aplicables, dado que </w:t>
      </w:r>
      <w:r w:rsidRPr="00C2172B">
        <w:rPr>
          <w:rFonts w:ascii="Palatino Linotype" w:hAnsi="Palatino Linotype"/>
        </w:rPr>
        <w:lastRenderedPageBreak/>
        <w:t>una resolución no es una explicación sino una decisión del órgano juzgador con facultad para ello.</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Además de que analizar, la naturaleza de la información y la procedencia de su entrega, coadyuvaría a cumplir con observar los principios de sencillez y expedites que la Ley obliga a tomar en consideración en el proceso de acceso a la info</w:t>
      </w:r>
      <w:r>
        <w:rPr>
          <w:rFonts w:ascii="Palatino Linotype" w:hAnsi="Palatino Linotype"/>
        </w:rPr>
        <w:t>rmación, pues de lo contrario</w:t>
      </w:r>
      <w:r w:rsidRPr="00C2172B">
        <w:rPr>
          <w:rFonts w:ascii="Palatino Linotype" w:hAnsi="Palatino Linotype"/>
        </w:rPr>
        <w:t xml:space="preserve">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vería la atención a su derecho, cuando ello puede mejorarse, explicando la incompetencia del Sujeto Obligado, u ordenando la entrega de la información o del acuerdo que fundamente la restricción.</w:t>
      </w:r>
    </w:p>
    <w:p w:rsidR="00875302" w:rsidRPr="008D60B1" w:rsidRDefault="00875302" w:rsidP="00875302">
      <w:pPr>
        <w:spacing w:before="240" w:after="240" w:line="360" w:lineRule="auto"/>
        <w:jc w:val="both"/>
        <w:rPr>
          <w:rFonts w:ascii="Palatino Linotype" w:hAnsi="Palatino Linotype"/>
        </w:rPr>
      </w:pPr>
      <w:r w:rsidRPr="008D60B1">
        <w:rPr>
          <w:rFonts w:ascii="Palatino Linotype" w:hAnsi="Palatino Linotype"/>
        </w:rPr>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875302"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Es decir, es factible y jurídicamente necesario que si existe obligación expresa por la Ley que rige la materia para hacer pública determinada información de los Sujetos Obligados </w:t>
      </w:r>
      <w:r w:rsidRPr="00C2172B">
        <w:rPr>
          <w:rFonts w:ascii="Palatino Linotype" w:hAnsi="Palatino Linotype"/>
        </w:rPr>
        <w:lastRenderedPageBreak/>
        <w:t>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la información ya está expresamente ordenado por la Ley; incluso lo mismo ocurre, cuando s</w:t>
      </w:r>
      <w:r>
        <w:rPr>
          <w:rFonts w:ascii="Palatino Linotype" w:hAnsi="Palatino Linotype"/>
        </w:rPr>
        <w:t>e localiza precepto normativo</w:t>
      </w:r>
      <w:r w:rsidRPr="00C2172B">
        <w:rPr>
          <w:rFonts w:ascii="Palatino Linotype" w:hAnsi="Palatino Linotype"/>
        </w:rPr>
        <w:t xml:space="preserve"> aplicable al Sujeto Obligado que haga indubitable que posee en su archivos la información que le es requerida, aun cuando no se trate de información pública de oficio; tarea que si bien no se logra en la garantía primaria del derecho de acceso a la información (el procedimiento de su acceso), por defecto en el actuar del Sujeto Obligado de que se trate, ello debe asegurarse en la garantía secundaria (el recurso de revisión) correspondiéndole al Órgano Garante.</w:t>
      </w:r>
    </w:p>
    <w:p w:rsidR="00A66720" w:rsidRPr="00C2172B" w:rsidRDefault="00A66720" w:rsidP="00B72322">
      <w:pPr>
        <w:spacing w:before="240" w:after="240" w:line="360" w:lineRule="auto"/>
        <w:jc w:val="both"/>
        <w:rPr>
          <w:rFonts w:ascii="Palatino Linotype" w:hAnsi="Palatino Linotype"/>
        </w:rPr>
      </w:pPr>
      <w:r w:rsidRPr="00C2172B">
        <w:rPr>
          <w:rFonts w:ascii="Palatino Linotype" w:hAnsi="Palatino Linotype"/>
        </w:rPr>
        <w:t>De ahí, que no se comparta que la resolución</w:t>
      </w:r>
      <w:r w:rsidR="00A51803" w:rsidRPr="00C2172B">
        <w:rPr>
          <w:rFonts w:ascii="Palatino Linotype" w:hAnsi="Palatino Linotype"/>
        </w:rPr>
        <w:t xml:space="preserve"> se limite </w:t>
      </w:r>
      <w:r w:rsidR="00CC2A00" w:rsidRPr="00C2172B">
        <w:rPr>
          <w:rFonts w:ascii="Palatino Linotype" w:hAnsi="Palatino Linotype"/>
        </w:rPr>
        <w:t>en los resolutivos a ordenar la atención a la</w:t>
      </w:r>
      <w:r w:rsidR="001F6448">
        <w:rPr>
          <w:rFonts w:ascii="Palatino Linotype" w:hAnsi="Palatino Linotype"/>
        </w:rPr>
        <w:t>s</w:t>
      </w:r>
      <w:r w:rsidR="00CC2A00" w:rsidRPr="00C2172B">
        <w:rPr>
          <w:rFonts w:ascii="Palatino Linotype" w:hAnsi="Palatino Linotype"/>
        </w:rPr>
        <w:t xml:space="preserve"> solicitud</w:t>
      </w:r>
      <w:r w:rsidR="001F6448">
        <w:rPr>
          <w:rFonts w:ascii="Palatino Linotype" w:hAnsi="Palatino Linotype"/>
        </w:rPr>
        <w:t>es</w:t>
      </w:r>
      <w:r w:rsidR="00CC2A00" w:rsidRPr="00C2172B">
        <w:rPr>
          <w:rFonts w:ascii="Palatino Linotype" w:hAnsi="Palatino Linotype"/>
        </w:rPr>
        <w:t xml:space="preserve"> de información y en su caso la entrega de la información</w:t>
      </w:r>
      <w:r w:rsidR="004A2418">
        <w:rPr>
          <w:rFonts w:ascii="Palatino Linotype" w:hAnsi="Palatino Linotype"/>
        </w:rPr>
        <w:t>.</w:t>
      </w: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en los términos </w:t>
      </w:r>
      <w:r w:rsidR="0023607D" w:rsidRPr="00C2172B">
        <w:rPr>
          <w:rFonts w:ascii="Palatino Linotype" w:hAnsi="Palatino Linotype" w:cs="Arial"/>
        </w:rPr>
        <w:t>precisados, considerando que las consideraciones aquí expuestas</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Pr="00C2172B">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Pr="00C2172B">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E7577" w:rsidRDefault="00EE7577" w:rsidP="00C75094">
            <w:pPr>
              <w:jc w:val="center"/>
              <w:rPr>
                <w:rFonts w:ascii="Palatino Linotype" w:hAnsi="Palatino Linotype"/>
                <w:b/>
                <w:sz w:val="24"/>
                <w:szCs w:val="24"/>
              </w:rPr>
            </w:pPr>
          </w:p>
          <w:p w:rsidR="00EC4BE3" w:rsidRPr="00C2172B" w:rsidRDefault="00EC4BE3" w:rsidP="00C75094">
            <w:pPr>
              <w:jc w:val="cente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23607D" w:rsidP="00EE7577">
            <w:pPr>
              <w:jc w:val="center"/>
              <w:rPr>
                <w:rFonts w:ascii="Palatino Linotype" w:hAnsi="Palatino Linotype"/>
                <w:sz w:val="24"/>
                <w:szCs w:val="24"/>
              </w:rPr>
            </w:pPr>
            <w:bookmarkStart w:id="0" w:name="_GoBack"/>
            <w:bookmarkEnd w:id="0"/>
          </w:p>
        </w:tc>
      </w:tr>
    </w:tbl>
    <w:p w:rsidR="00E95564" w:rsidRPr="00C2172B" w:rsidRDefault="00E95564" w:rsidP="006F7C5A"/>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217" w:rsidRDefault="00A32217" w:rsidP="004E7F5E">
      <w:pPr>
        <w:spacing w:after="0" w:line="240" w:lineRule="auto"/>
      </w:pPr>
      <w:r>
        <w:separator/>
      </w:r>
    </w:p>
  </w:endnote>
  <w:endnote w:type="continuationSeparator" w:id="0">
    <w:p w:rsidR="00A32217" w:rsidRDefault="00A32217"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4129AB" w:rsidRPr="004129AB">
          <w:rPr>
            <w:noProof/>
            <w:lang w:val="es-ES"/>
          </w:rPr>
          <w:t>6</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217" w:rsidRDefault="00A32217" w:rsidP="004E7F5E">
      <w:pPr>
        <w:spacing w:after="0" w:line="240" w:lineRule="auto"/>
      </w:pPr>
      <w:r>
        <w:separator/>
      </w:r>
    </w:p>
  </w:footnote>
  <w:footnote w:type="continuationSeparator" w:id="0">
    <w:p w:rsidR="00A32217" w:rsidRDefault="00A32217"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A3221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A32217"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914298" w:rsidRDefault="00C46947" w:rsidP="00914298">
    <w:pPr>
      <w:pStyle w:val="Encabezado"/>
      <w:jc w:val="right"/>
      <w:rPr>
        <w:rFonts w:ascii="Palatino Linotype" w:hAnsi="Palatino Linotype"/>
        <w:b/>
      </w:rPr>
    </w:pPr>
    <w:r w:rsidRPr="002A7C5D">
      <w:rPr>
        <w:rFonts w:ascii="Palatino Linotype" w:hAnsi="Palatino Linotype"/>
        <w:b/>
      </w:rPr>
      <w:t xml:space="preserve">RECURSO DE REVISIÓN </w:t>
    </w:r>
  </w:p>
  <w:p w:rsidR="00E6724B" w:rsidRDefault="001C772E" w:rsidP="00914298">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w:t>
    </w:r>
    <w:r w:rsidR="006C2EAF">
      <w:rPr>
        <w:rFonts w:ascii="Palatino Linotype" w:hAnsi="Palatino Linotype" w:cs="Arial"/>
        <w:b/>
        <w:bCs/>
        <w:sz w:val="24"/>
        <w:szCs w:val="24"/>
        <w:lang w:eastAsia="es-MX"/>
      </w:rPr>
      <w:t>4563</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914298">
      <w:rPr>
        <w:rFonts w:ascii="Palatino Linotype" w:hAnsi="Palatino Linotype" w:cs="Arial"/>
        <w:b/>
        <w:bCs/>
        <w:sz w:val="24"/>
        <w:szCs w:val="24"/>
        <w:lang w:eastAsia="es-MX"/>
      </w:rPr>
      <w:t xml:space="preserve"> y acumulados.</w:t>
    </w:r>
    <w:r w:rsidR="00E6724B">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A3221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8873A1"/>
    <w:multiLevelType w:val="hybridMultilevel"/>
    <w:tmpl w:val="97A05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3419"/>
    <w:rsid w:val="000A42B1"/>
    <w:rsid w:val="000B106B"/>
    <w:rsid w:val="000C0CB6"/>
    <w:rsid w:val="000C390D"/>
    <w:rsid w:val="000C56D0"/>
    <w:rsid w:val="000C5730"/>
    <w:rsid w:val="000D14F0"/>
    <w:rsid w:val="000D3D02"/>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1EF"/>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B65"/>
    <w:rsid w:val="001B2E18"/>
    <w:rsid w:val="001B435E"/>
    <w:rsid w:val="001C223A"/>
    <w:rsid w:val="001C58A6"/>
    <w:rsid w:val="001C772E"/>
    <w:rsid w:val="001D002F"/>
    <w:rsid w:val="001D3387"/>
    <w:rsid w:val="001D3FD4"/>
    <w:rsid w:val="001D425C"/>
    <w:rsid w:val="001D4E73"/>
    <w:rsid w:val="001D54E8"/>
    <w:rsid w:val="001D5A99"/>
    <w:rsid w:val="001D63A6"/>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0C10"/>
    <w:rsid w:val="002F3106"/>
    <w:rsid w:val="00306340"/>
    <w:rsid w:val="0031071E"/>
    <w:rsid w:val="00315D1F"/>
    <w:rsid w:val="003201EE"/>
    <w:rsid w:val="00321CF3"/>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54EA"/>
    <w:rsid w:val="003F5B40"/>
    <w:rsid w:val="003F6045"/>
    <w:rsid w:val="00404F09"/>
    <w:rsid w:val="004129AB"/>
    <w:rsid w:val="00415574"/>
    <w:rsid w:val="00415C72"/>
    <w:rsid w:val="0041600F"/>
    <w:rsid w:val="00416635"/>
    <w:rsid w:val="00421827"/>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4E54"/>
    <w:rsid w:val="00491129"/>
    <w:rsid w:val="0049314A"/>
    <w:rsid w:val="004A028F"/>
    <w:rsid w:val="004A0E49"/>
    <w:rsid w:val="004A1AA8"/>
    <w:rsid w:val="004A241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0B0"/>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86A"/>
    <w:rsid w:val="00611952"/>
    <w:rsid w:val="00611DF2"/>
    <w:rsid w:val="00616274"/>
    <w:rsid w:val="0062043B"/>
    <w:rsid w:val="00620E67"/>
    <w:rsid w:val="00622D24"/>
    <w:rsid w:val="00627BF2"/>
    <w:rsid w:val="00632045"/>
    <w:rsid w:val="00636EA2"/>
    <w:rsid w:val="006406DD"/>
    <w:rsid w:val="0064261A"/>
    <w:rsid w:val="00655898"/>
    <w:rsid w:val="00660074"/>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2EAF"/>
    <w:rsid w:val="006C3250"/>
    <w:rsid w:val="006C55A2"/>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9C"/>
    <w:rsid w:val="00802FD5"/>
    <w:rsid w:val="00807C04"/>
    <w:rsid w:val="00810B26"/>
    <w:rsid w:val="00811478"/>
    <w:rsid w:val="00812D63"/>
    <w:rsid w:val="00813331"/>
    <w:rsid w:val="0081376E"/>
    <w:rsid w:val="00822844"/>
    <w:rsid w:val="00822918"/>
    <w:rsid w:val="00823168"/>
    <w:rsid w:val="008262F7"/>
    <w:rsid w:val="00827F75"/>
    <w:rsid w:val="00832161"/>
    <w:rsid w:val="00835727"/>
    <w:rsid w:val="008516F2"/>
    <w:rsid w:val="00852329"/>
    <w:rsid w:val="00854AC4"/>
    <w:rsid w:val="00857730"/>
    <w:rsid w:val="00863B81"/>
    <w:rsid w:val="00866BB2"/>
    <w:rsid w:val="00870442"/>
    <w:rsid w:val="008729B1"/>
    <w:rsid w:val="008750E3"/>
    <w:rsid w:val="00875302"/>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4298"/>
    <w:rsid w:val="00915A6E"/>
    <w:rsid w:val="00917FB4"/>
    <w:rsid w:val="00921880"/>
    <w:rsid w:val="0092406A"/>
    <w:rsid w:val="00924E3B"/>
    <w:rsid w:val="009273D1"/>
    <w:rsid w:val="00931E83"/>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27A1A"/>
    <w:rsid w:val="00A32217"/>
    <w:rsid w:val="00A3259E"/>
    <w:rsid w:val="00A33A99"/>
    <w:rsid w:val="00A40ADA"/>
    <w:rsid w:val="00A46651"/>
    <w:rsid w:val="00A467EF"/>
    <w:rsid w:val="00A51803"/>
    <w:rsid w:val="00A52B9A"/>
    <w:rsid w:val="00A53050"/>
    <w:rsid w:val="00A53E9B"/>
    <w:rsid w:val="00A5446E"/>
    <w:rsid w:val="00A54674"/>
    <w:rsid w:val="00A5507A"/>
    <w:rsid w:val="00A575FE"/>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D11BE"/>
    <w:rsid w:val="00AD2316"/>
    <w:rsid w:val="00AD33A9"/>
    <w:rsid w:val="00AD5147"/>
    <w:rsid w:val="00AD5BF8"/>
    <w:rsid w:val="00AF0C8A"/>
    <w:rsid w:val="00AF19FD"/>
    <w:rsid w:val="00B00771"/>
    <w:rsid w:val="00B022B0"/>
    <w:rsid w:val="00B073F9"/>
    <w:rsid w:val="00B07568"/>
    <w:rsid w:val="00B07701"/>
    <w:rsid w:val="00B106E8"/>
    <w:rsid w:val="00B155CC"/>
    <w:rsid w:val="00B23E9E"/>
    <w:rsid w:val="00B24A0B"/>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C4F"/>
    <w:rsid w:val="00C35BB2"/>
    <w:rsid w:val="00C42941"/>
    <w:rsid w:val="00C434EE"/>
    <w:rsid w:val="00C4614C"/>
    <w:rsid w:val="00C46947"/>
    <w:rsid w:val="00C511C3"/>
    <w:rsid w:val="00C517B2"/>
    <w:rsid w:val="00C51F7E"/>
    <w:rsid w:val="00C57E8F"/>
    <w:rsid w:val="00C60577"/>
    <w:rsid w:val="00C615A3"/>
    <w:rsid w:val="00C6205E"/>
    <w:rsid w:val="00C63640"/>
    <w:rsid w:val="00C63738"/>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A660B"/>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B20D-9B1E-4022-A0D2-CB2E4EFC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1595</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4</cp:revision>
  <cp:lastPrinted>2019-02-25T23:39:00Z</cp:lastPrinted>
  <dcterms:created xsi:type="dcterms:W3CDTF">2019-02-25T16:11:00Z</dcterms:created>
  <dcterms:modified xsi:type="dcterms:W3CDTF">2019-02-25T23:39:00Z</dcterms:modified>
</cp:coreProperties>
</file>